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lain Text"/>
        <w:spacing w:line="360" w:lineRule="auto"/>
        <w:rPr>
          <w:b w:val="1"/>
          <w:bCs w:val="1"/>
          <w:sz w:val="24"/>
          <w:szCs w:val="24"/>
          <w:lang w:val="zh-TW" w:eastAsia="zh-TW"/>
        </w:rPr>
      </w:pPr>
      <w:r>
        <w:rPr>
          <w:b w:val="1"/>
          <w:bCs w:val="1"/>
          <w:sz w:val="24"/>
          <w:szCs w:val="24"/>
          <w:rtl w:val="0"/>
          <w:lang w:val="zh-TW" w:eastAsia="zh-TW"/>
        </w:rPr>
        <w:t>附件二</w:t>
      </w:r>
    </w:p>
    <w:p>
      <w:pPr>
        <w:pStyle w:val="Plain Text"/>
        <w:spacing w:line="360" w:lineRule="auto"/>
        <w:jc w:val="left"/>
        <w:rPr>
          <w:rFonts w:ascii="黑体" w:cs="黑体" w:hAnsi="黑体" w:eastAsia="黑体"/>
          <w:sz w:val="24"/>
          <w:szCs w:val="24"/>
          <w:lang w:val="zh-TW" w:eastAsia="zh-TW"/>
        </w:rPr>
      </w:pPr>
      <w:r>
        <w:rPr>
          <w:rFonts w:ascii="黑体" w:cs="黑体" w:hAnsi="黑体" w:eastAsia="黑体"/>
          <w:sz w:val="24"/>
          <w:szCs w:val="24"/>
          <w:rtl w:val="0"/>
          <w:lang w:val="zh-TW" w:eastAsia="zh-TW"/>
        </w:rPr>
        <w:t>《佛山历史文化丛书》第一辑～第三辑书目</w:t>
      </w:r>
    </w:p>
    <w:tbl>
      <w:tblPr>
        <w:tblW w:w="85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26"/>
        <w:gridCol w:w="6996"/>
      </w:tblGrid>
      <w:tr>
        <w:tblPrEx>
          <w:shd w:val="clear" w:color="auto" w:fill="ced7e7"/>
        </w:tblPrEx>
        <w:trPr>
          <w:trHeight w:val="1880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line="360" w:lineRule="auto"/>
              <w:jc w:val="left"/>
            </w:pPr>
            <w:r>
              <w:rPr>
                <w:kern w:val="0"/>
                <w:sz w:val="24"/>
                <w:szCs w:val="24"/>
                <w:rtl w:val="0"/>
                <w:lang w:val="zh-TW" w:eastAsia="zh-TW"/>
              </w:rPr>
              <w:t>第一辑书目</w:t>
            </w:r>
          </w:p>
        </w:tc>
        <w:tc>
          <w:tcPr>
            <w:tcW w:type="dxa" w:w="6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《佛山状元文化》、《佛山古村落》、《佛山商道文化》、《佛山家训》、《佛山中医药文化》、《佛山明清冶铸》、《佛山历史人物录》、《佛山传统建筑》、《佛山祖庙》、《佛山粤剧》</w:t>
            </w:r>
          </w:p>
        </w:tc>
      </w:tr>
      <w:tr>
        <w:tblPrEx>
          <w:shd w:val="clear" w:color="auto" w:fill="ced7e7"/>
        </w:tblPrEx>
        <w:trPr>
          <w:trHeight w:val="2390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line="360" w:lineRule="auto"/>
              <w:jc w:val="left"/>
            </w:pPr>
            <w:r>
              <w:rPr>
                <w:kern w:val="0"/>
                <w:sz w:val="24"/>
                <w:szCs w:val="24"/>
                <w:rtl w:val="0"/>
                <w:lang w:val="zh-TW" w:eastAsia="zh-TW"/>
              </w:rPr>
              <w:t>第二辑书目</w:t>
            </w:r>
          </w:p>
        </w:tc>
        <w:tc>
          <w:tcPr>
            <w:tcW w:type="dxa" w:w="6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line="360" w:lineRule="auto"/>
              <w:jc w:val="left"/>
            </w:pPr>
            <w:r>
              <w:rPr>
                <w:kern w:val="0"/>
                <w:sz w:val="24"/>
                <w:szCs w:val="24"/>
                <w:rtl w:val="0"/>
                <w:lang w:val="zh-TW" w:eastAsia="zh-TW"/>
              </w:rPr>
              <w:t>《西樵山与岭南理学的传承》、《佛山北帝文化与社会》、《石湾窑研究》、《明清佛山地方治理研究》、《佛山彩灯》、《佛山武术史略》、《佛山历代诗歌三百首》、《佛山纺织史》、《佛山木版年画历史与文化》、《佛山古今桥梁掠影》</w:t>
            </w:r>
          </w:p>
        </w:tc>
      </w:tr>
      <w:tr>
        <w:tblPrEx>
          <w:shd w:val="clear" w:color="auto" w:fill="ced7e7"/>
        </w:tblPrEx>
        <w:trPr>
          <w:trHeight w:val="1880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line="360" w:lineRule="auto"/>
              <w:jc w:val="left"/>
            </w:pPr>
            <w:r>
              <w:rPr>
                <w:kern w:val="0"/>
                <w:sz w:val="24"/>
                <w:szCs w:val="24"/>
                <w:rtl w:val="0"/>
                <w:lang w:val="zh-TW" w:eastAsia="zh-TW"/>
              </w:rPr>
              <w:t>第三辑书目</w:t>
            </w:r>
          </w:p>
        </w:tc>
        <w:tc>
          <w:tcPr>
            <w:tcW w:type="dxa" w:w="6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spacing w:line="360" w:lineRule="auto"/>
              <w:jc w:val="left"/>
            </w:pPr>
            <w:r>
              <w:rPr>
                <w:kern w:val="0"/>
                <w:sz w:val="24"/>
                <w:szCs w:val="24"/>
                <w:rtl w:val="0"/>
                <w:lang w:val="zh-TW" w:eastAsia="zh-TW"/>
              </w:rPr>
              <w:t>《詹天佑：从南海幼童到铁路之父》、《陈启沅传》、《骆秉章传》、《冼冠生与冠生园》、《佛山古代铸造工匠技艺》、《李待问传》、《佛山龙舟文化》、《大绅与通儒：李文田传》、《中国机械名师温子绍》、《吴趼人评传》</w:t>
            </w:r>
          </w:p>
        </w:tc>
      </w:tr>
    </w:tbl>
    <w:p>
      <w:pPr>
        <w:pStyle w:val="Plain Text"/>
        <w:jc w:val="left"/>
        <w:rPr>
          <w:rFonts w:ascii="黑体" w:cs="黑体" w:hAnsi="黑体" w:eastAsia="黑体"/>
          <w:sz w:val="24"/>
          <w:szCs w:val="24"/>
          <w:lang w:val="zh-TW" w:eastAsia="zh-TW"/>
        </w:rPr>
      </w:pPr>
    </w:p>
    <w:p>
      <w:pPr>
        <w:pStyle w:val="Normal.0"/>
        <w:spacing w:line="360" w:lineRule="auto"/>
      </w:pP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备注：凡申报《佛山历史文化丛书中长期编撰出版选题》者，参阅《佛山历史文化丛书》第一辑、第二辑、第三辑书目，请勿雷同。</w:t>
      </w:r>
      <w:r>
        <w:rPr>
          <w:rFonts w:ascii="宋体" w:cs="宋体" w:hAnsi="宋体" w:eastAsia="宋体"/>
          <w:sz w:val="24"/>
          <w:szCs w:val="24"/>
          <w:lang w:val="zh-TW" w:eastAsia="zh-TW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宋体">
    <w:charset w:val="00"/>
    <w:family w:val="roman"/>
    <w:pitch w:val="default"/>
  </w:font>
  <w:font w:name="黑体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280"/>
        <w:tab w:val="clear" w:pos="8306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vertAlign w:val="baseline"/>
      <w:lang w:val="en-US"/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宋体" w:cs="宋体" w:hAnsi="宋体" w:eastAsia="宋体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